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C41E" w14:textId="3B7C3A2A" w:rsidR="00EE4426" w:rsidRPr="00B04575" w:rsidRDefault="00EF59E0" w:rsidP="00EF59E0">
      <w:pPr>
        <w:jc w:val="center"/>
        <w:rPr>
          <w:b/>
          <w:bCs/>
        </w:rPr>
      </w:pPr>
      <w:r w:rsidRPr="00B04575">
        <w:rPr>
          <w:b/>
          <w:bCs/>
        </w:rPr>
        <w:t xml:space="preserve">ISDS361A Project </w:t>
      </w:r>
      <w:r w:rsidR="00A9594B">
        <w:rPr>
          <w:b/>
          <w:bCs/>
        </w:rPr>
        <w:t>Phase 1</w:t>
      </w:r>
    </w:p>
    <w:p w14:paraId="7A49B809" w14:textId="7DEF2759" w:rsidR="001E55F3" w:rsidRDefault="00A9594B" w:rsidP="00A9594B">
      <w:pPr>
        <w:jc w:val="center"/>
      </w:pPr>
      <w:r>
        <w:t>Marlon Marx</w:t>
      </w:r>
    </w:p>
    <w:p w14:paraId="5244CEE7" w14:textId="77777777" w:rsidR="00270B07" w:rsidRDefault="00270B07"/>
    <w:p w14:paraId="1D04A96F" w14:textId="2CD36A1C" w:rsidR="00AE4722" w:rsidRPr="00AE4722" w:rsidRDefault="001C56B8" w:rsidP="002761E5">
      <w:pPr>
        <w:rPr>
          <w:b/>
          <w:bCs/>
        </w:rPr>
      </w:pPr>
      <w:r w:rsidRPr="002761E5">
        <w:rPr>
          <w:b/>
          <w:bCs/>
        </w:rPr>
        <w:t>Introduction</w:t>
      </w:r>
    </w:p>
    <w:p w14:paraId="2021392C" w14:textId="36544C3B" w:rsidR="00AE4722" w:rsidRPr="002761E5" w:rsidRDefault="00675F25" w:rsidP="00675F25">
      <w:pPr>
        <w:ind w:firstLine="720"/>
      </w:pPr>
      <w:r>
        <w:t xml:space="preserve">In this project, I am going to use statistical formulas to evaluate the starting salary of accounting major’s vs Info systems. I will provide the reader with an in-depth analysis of what they can expect to earn once they graduate. Using descriptive statistics, I will describe the difference between the two salaries and the key elements future students should consider when deciding on these two majors. </w:t>
      </w:r>
    </w:p>
    <w:p w14:paraId="694F06A8" w14:textId="77777777" w:rsidR="00512CDF" w:rsidRDefault="00512CDF" w:rsidP="00AE4722"/>
    <w:p w14:paraId="2C14A8BF" w14:textId="444D6CAD" w:rsidR="00AE4722" w:rsidRPr="00AE4722" w:rsidRDefault="001C56B8" w:rsidP="00AE4722">
      <w:pPr>
        <w:rPr>
          <w:b/>
          <w:bCs/>
        </w:rPr>
      </w:pPr>
      <w:r w:rsidRPr="00AC1AE1">
        <w:rPr>
          <w:b/>
          <w:bCs/>
        </w:rPr>
        <w:t>Business Questions</w:t>
      </w:r>
      <w:r w:rsidR="00AC1AE1">
        <w:t xml:space="preserve"> </w:t>
      </w:r>
    </w:p>
    <w:p w14:paraId="2F9A7936" w14:textId="16EBB44E" w:rsidR="00AE4722" w:rsidRDefault="00675F25" w:rsidP="00675F25">
      <w:pPr>
        <w:pStyle w:val="ListParagraph"/>
        <w:numPr>
          <w:ilvl w:val="0"/>
          <w:numId w:val="2"/>
        </w:numPr>
      </w:pPr>
      <w:r>
        <w:t>When deciding between these two majors, which one on average can a scholar expect to earn more from?</w:t>
      </w:r>
    </w:p>
    <w:p w14:paraId="0A1BF7D6" w14:textId="7ED1D9E6" w:rsidR="00675F25" w:rsidRDefault="00675F25" w:rsidP="00675F25">
      <w:pPr>
        <w:pStyle w:val="ListParagraph"/>
        <w:numPr>
          <w:ilvl w:val="0"/>
          <w:numId w:val="2"/>
        </w:numPr>
      </w:pPr>
      <w:r>
        <w:t>Between these two degrees, which one has a higher earnings potential?</w:t>
      </w:r>
    </w:p>
    <w:p w14:paraId="53A151A0" w14:textId="68916197" w:rsidR="00675F25" w:rsidRDefault="00512CDF" w:rsidP="00675F25">
      <w:pPr>
        <w:pStyle w:val="ListParagraph"/>
        <w:numPr>
          <w:ilvl w:val="0"/>
          <w:numId w:val="2"/>
        </w:numPr>
      </w:pPr>
      <w:r>
        <w:t xml:space="preserve">For the accounting majors, what is the middle 50% of starting employees range of income? </w:t>
      </w:r>
    </w:p>
    <w:p w14:paraId="6A2FBC08" w14:textId="77777777" w:rsidR="00512CDF" w:rsidRDefault="002761E5" w:rsidP="00AC1AE1">
      <w:r w:rsidRPr="002761E5">
        <w:t xml:space="preserve"> </w:t>
      </w:r>
    </w:p>
    <w:p w14:paraId="34D5B66B" w14:textId="0C27B3F7" w:rsidR="001C56B8" w:rsidRPr="00512CDF" w:rsidRDefault="001C56B8" w:rsidP="00AC1AE1">
      <w:r w:rsidRPr="00AC1AE1">
        <w:rPr>
          <w:b/>
          <w:bCs/>
        </w:rPr>
        <w:t>Data Description</w:t>
      </w:r>
    </w:p>
    <w:p w14:paraId="5CAA839A" w14:textId="1632C949" w:rsidR="00AE4722" w:rsidRDefault="00512CDF" w:rsidP="00512CDF">
      <w:pPr>
        <w:pStyle w:val="ListParagraph"/>
        <w:numPr>
          <w:ilvl w:val="0"/>
          <w:numId w:val="3"/>
        </w:numPr>
      </w:pPr>
      <w:r>
        <w:t xml:space="preserve">Accounting has 28 </w:t>
      </w:r>
      <w:r w:rsidR="00ED116F">
        <w:t xml:space="preserve">rows of data, compared to 17 rows of data for info systems, therefore, the data for accounting will be better represented and will give a better understanding than that of the info systems. </w:t>
      </w:r>
    </w:p>
    <w:p w14:paraId="03FB5132" w14:textId="7AF49A18" w:rsidR="00ED116F" w:rsidRDefault="00ED116F" w:rsidP="00512CDF">
      <w:pPr>
        <w:pStyle w:val="ListParagraph"/>
        <w:numPr>
          <w:ilvl w:val="0"/>
          <w:numId w:val="3"/>
        </w:numPr>
      </w:pPr>
      <w:r>
        <w:t xml:space="preserve">After studying the data, it has been made clear that since we are dealing salaries and because the mean is higher than the median, both graphs are skewed to the right. </w:t>
      </w:r>
    </w:p>
    <w:p w14:paraId="24FB672C" w14:textId="77777777" w:rsidR="00AC1AE1" w:rsidRDefault="00AC1AE1" w:rsidP="00AC1AE1"/>
    <w:p w14:paraId="0378F054" w14:textId="26D05D39" w:rsidR="00CF31C3" w:rsidRDefault="00CF31C3" w:rsidP="00AC1AE1">
      <w:pPr>
        <w:rPr>
          <w:b/>
          <w:bCs/>
        </w:rPr>
      </w:pPr>
      <w:r w:rsidRPr="00AC1AE1">
        <w:rPr>
          <w:b/>
          <w:bCs/>
        </w:rPr>
        <w:t>Descriptive Statistics</w:t>
      </w:r>
    </w:p>
    <w:p w14:paraId="53C4E2E3" w14:textId="561693CE" w:rsidR="00523576" w:rsidRDefault="004B28D1" w:rsidP="004A11CA">
      <w:pPr>
        <w:pStyle w:val="Default"/>
      </w:pPr>
      <w:r>
        <w:t xml:space="preserve">To describe the data I </w:t>
      </w:r>
      <w:r w:rsidR="00523576">
        <w:t>ran the minimum, mode, average, median, inter quartile range, range, highest, variance and standard deviation.</w:t>
      </w:r>
      <w:r w:rsidR="00AE4722">
        <w:t xml:space="preserve"> </w:t>
      </w:r>
      <w:r w:rsidR="00523576">
        <w:t>The average income for a</w:t>
      </w:r>
      <w:r w:rsidR="0087433B">
        <w:t>n</w:t>
      </w:r>
      <w:r w:rsidR="00523576">
        <w:t xml:space="preserve"> </w:t>
      </w:r>
      <w:r w:rsidR="0087433B">
        <w:t>accounting</w:t>
      </w:r>
      <w:r w:rsidR="00523576">
        <w:t xml:space="preserve"> student is $4420</w:t>
      </w:r>
      <w:r w:rsidR="00A8519E">
        <w:t xml:space="preserve"> and the median is $4360. When the mean is </w:t>
      </w:r>
      <w:r w:rsidR="0087433B">
        <w:t>more</w:t>
      </w:r>
      <w:r w:rsidR="00A8519E">
        <w:t xml:space="preserve"> than the median, we can conclude that the distribution is </w:t>
      </w:r>
      <w:r w:rsidR="0087433B">
        <w:t xml:space="preserve">positively </w:t>
      </w:r>
      <w:r w:rsidR="00A8519E">
        <w:t>skewed</w:t>
      </w:r>
      <w:r w:rsidR="004A11CA">
        <w:t xml:space="preserve"> to the right. The average income of an info systems student is $4393, and the median is $4290. The data is distributed positively and is skewed to the right. From the Data we can conclude that accounting </w:t>
      </w:r>
      <w:r w:rsidR="006F2AF4">
        <w:t>majors</w:t>
      </w:r>
      <w:r w:rsidR="004A11CA">
        <w:t xml:space="preserve"> get paid more on average. The</w:t>
      </w:r>
      <w:r w:rsidR="006F2AF4">
        <w:t xml:space="preserve"> standard deviation of the accounting majors is 734.06 and the info systems is 508. </w:t>
      </w:r>
      <w:r w:rsidR="00DE3CD0">
        <w:t xml:space="preserve">This shows that the data is more spread out compared to that of the Info Systems, meaning it might be more accurate. </w:t>
      </w:r>
    </w:p>
    <w:p w14:paraId="3B3133D5" w14:textId="77777777" w:rsidR="00F61E90" w:rsidRDefault="00F61E90" w:rsidP="004A11CA">
      <w:pPr>
        <w:pStyle w:val="Default"/>
      </w:pPr>
    </w:p>
    <w:p w14:paraId="338E5F23" w14:textId="452681DE" w:rsidR="00257293" w:rsidRDefault="00257293" w:rsidP="004A11CA">
      <w:pPr>
        <w:pStyle w:val="Default"/>
      </w:pPr>
      <w:r>
        <w:rPr>
          <w:noProof/>
        </w:rPr>
        <mc:AlternateContent>
          <mc:Choice Requires="cx2">
            <w:drawing>
              <wp:inline distT="0" distB="0" distL="0" distR="0" wp14:anchorId="686981FC" wp14:editId="11ABD15A">
                <wp:extent cx="3790950" cy="2133600"/>
                <wp:effectExtent l="0" t="0" r="0" b="0"/>
                <wp:docPr id="1" name="Chart 1">
                  <a:extLst xmlns:a="http://schemas.openxmlformats.org/drawingml/2006/main">
                    <a:ext uri="{FF2B5EF4-FFF2-40B4-BE49-F238E27FC236}">
                      <a16:creationId xmlns:a16="http://schemas.microsoft.com/office/drawing/2014/main" id="{7FACEB4A-3346-4267-8CA1-98B6FDD3E35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686981FC" wp14:editId="11ABD15A">
                <wp:extent cx="3790950" cy="2133600"/>
                <wp:effectExtent l="0" t="0" r="0" b="0"/>
                <wp:docPr id="1" name="Chart 1">
                  <a:extLst xmlns:a="http://schemas.openxmlformats.org/drawingml/2006/main">
                    <a:ext uri="{FF2B5EF4-FFF2-40B4-BE49-F238E27FC236}">
                      <a16:creationId xmlns:a16="http://schemas.microsoft.com/office/drawing/2014/main" id="{7FACEB4A-3346-4267-8CA1-98B6FDD3E35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7FACEB4A-3346-4267-8CA1-98B6FDD3E353}"/>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3790950" cy="2133600"/>
                        </a:xfrm>
                        <a:prstGeom prst="rect">
                          <a:avLst/>
                        </a:prstGeom>
                      </pic:spPr>
                    </pic:pic>
                  </a:graphicData>
                </a:graphic>
              </wp:inline>
            </w:drawing>
          </mc:Fallback>
        </mc:AlternateContent>
      </w:r>
      <w:r w:rsidR="00F61E90">
        <w:t xml:space="preserve">   </w:t>
      </w:r>
    </w:p>
    <w:p w14:paraId="71510394" w14:textId="4C032E1D" w:rsidR="00F61E90" w:rsidRDefault="00F61E90" w:rsidP="004A11CA">
      <w:pPr>
        <w:pStyle w:val="Default"/>
      </w:pPr>
    </w:p>
    <w:p w14:paraId="310CF75C" w14:textId="22BDF532" w:rsidR="00F61E90" w:rsidRDefault="00F61E90" w:rsidP="004A11CA">
      <w:pPr>
        <w:pStyle w:val="Default"/>
      </w:pPr>
      <w:r>
        <w:rPr>
          <w:noProof/>
        </w:rPr>
        <w:lastRenderedPageBreak/>
        <mc:AlternateContent>
          <mc:Choice Requires="cx2">
            <w:drawing>
              <wp:inline distT="0" distB="0" distL="0" distR="0" wp14:anchorId="6C7442F9" wp14:editId="4A601C3A">
                <wp:extent cx="3594100" cy="1860550"/>
                <wp:effectExtent l="0" t="0" r="6350" b="6350"/>
                <wp:docPr id="7" name="Chart 7">
                  <a:extLst xmlns:a="http://schemas.openxmlformats.org/drawingml/2006/main">
                    <a:ext uri="{FF2B5EF4-FFF2-40B4-BE49-F238E27FC236}">
                      <a16:creationId xmlns:a16="http://schemas.microsoft.com/office/drawing/2014/main" id="{D54F8825-71C2-4E07-B0D8-12311B0FAC3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6C7442F9" wp14:editId="4A601C3A">
                <wp:extent cx="3594100" cy="1860550"/>
                <wp:effectExtent l="0" t="0" r="6350" b="6350"/>
                <wp:docPr id="7" name="Chart 7">
                  <a:extLst xmlns:a="http://schemas.openxmlformats.org/drawingml/2006/main">
                    <a:ext uri="{FF2B5EF4-FFF2-40B4-BE49-F238E27FC236}">
                      <a16:creationId xmlns:a16="http://schemas.microsoft.com/office/drawing/2014/main" id="{D54F8825-71C2-4E07-B0D8-12311B0FAC3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Chart 7">
                          <a:extLst>
                            <a:ext uri="{FF2B5EF4-FFF2-40B4-BE49-F238E27FC236}">
                              <a16:creationId xmlns:a16="http://schemas.microsoft.com/office/drawing/2014/main" id="{D54F8825-71C2-4E07-B0D8-12311B0FAC33}"/>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3594100" cy="1860550"/>
                        </a:xfrm>
                        <a:prstGeom prst="rect">
                          <a:avLst/>
                        </a:prstGeom>
                      </pic:spPr>
                    </pic:pic>
                  </a:graphicData>
                </a:graphic>
              </wp:inline>
            </w:drawing>
          </mc:Fallback>
        </mc:AlternateContent>
      </w:r>
    </w:p>
    <w:p w14:paraId="76D9694B" w14:textId="0DA94887" w:rsidR="00F61E90" w:rsidRDefault="00F61E90" w:rsidP="004A11CA">
      <w:pPr>
        <w:pStyle w:val="Default"/>
      </w:pPr>
    </w:p>
    <w:p w14:paraId="741815FB" w14:textId="5FADBAE4" w:rsidR="00DE04CB" w:rsidRDefault="003A058C" w:rsidP="00DE04CB">
      <w:pPr>
        <w:rPr>
          <w:b/>
          <w:bCs/>
        </w:rPr>
      </w:pPr>
      <w:r>
        <w:rPr>
          <w:b/>
          <w:bCs/>
        </w:rPr>
        <w:t>Methods you plan to use</w:t>
      </w:r>
      <w:r w:rsidR="00F61E90">
        <w:rPr>
          <w:b/>
          <w:bCs/>
        </w:rPr>
        <w:t>:</w:t>
      </w:r>
    </w:p>
    <w:p w14:paraId="26E7B923" w14:textId="24579E7D" w:rsidR="00A23BE4" w:rsidRDefault="00A23BE4" w:rsidP="00A23BE4">
      <w:pPr>
        <w:pStyle w:val="ListParagraph"/>
        <w:numPr>
          <w:ilvl w:val="0"/>
          <w:numId w:val="4"/>
        </w:numPr>
        <w:rPr>
          <w:b/>
          <w:bCs/>
        </w:rPr>
      </w:pPr>
      <w:r>
        <w:rPr>
          <w:b/>
          <w:bCs/>
        </w:rPr>
        <w:t xml:space="preserve">I plan to use excel to formulate the compute the 95% confidence interval. </w:t>
      </w:r>
    </w:p>
    <w:p w14:paraId="5067F328" w14:textId="1D053015" w:rsidR="00A23BE4" w:rsidRDefault="00A23BE4" w:rsidP="00A23BE4">
      <w:pPr>
        <w:pStyle w:val="ListParagraph"/>
        <w:numPr>
          <w:ilvl w:val="0"/>
          <w:numId w:val="4"/>
        </w:numPr>
        <w:rPr>
          <w:b/>
          <w:bCs/>
        </w:rPr>
      </w:pPr>
      <w:r>
        <w:rPr>
          <w:b/>
          <w:bCs/>
        </w:rPr>
        <w:t xml:space="preserve">I plan on using the data provided and the descriptive statistics I formulated to help me solve the following questions. </w:t>
      </w:r>
    </w:p>
    <w:p w14:paraId="6B125CE2" w14:textId="74F89202" w:rsidR="004570AB" w:rsidRPr="00A23BE4" w:rsidRDefault="004570AB" w:rsidP="00A23BE4">
      <w:pPr>
        <w:pStyle w:val="ListParagraph"/>
        <w:numPr>
          <w:ilvl w:val="0"/>
          <w:numId w:val="4"/>
        </w:numPr>
        <w:rPr>
          <w:b/>
          <w:bCs/>
        </w:rPr>
      </w:pPr>
      <w:r>
        <w:rPr>
          <w:b/>
          <w:bCs/>
        </w:rPr>
        <w:t>Using the mean and median will help me better solve and describe the arguments asked.</w:t>
      </w:r>
    </w:p>
    <w:p w14:paraId="59DD9478" w14:textId="078B292A" w:rsidR="00ED116F" w:rsidRDefault="00ED116F" w:rsidP="00ED116F"/>
    <w:p w14:paraId="70BBF020" w14:textId="1D131993" w:rsidR="001E55F3" w:rsidRPr="00ED116F" w:rsidRDefault="00B04575" w:rsidP="00ED116F">
      <w:r w:rsidRPr="00B04575">
        <w:rPr>
          <w:b/>
          <w:bCs/>
        </w:rPr>
        <w:t>Appendix</w:t>
      </w:r>
      <w:r w:rsidR="001E55F3">
        <w:rPr>
          <w:b/>
          <w:bCs/>
        </w:rPr>
        <w:t xml:space="preserve"> </w:t>
      </w:r>
    </w:p>
    <w:p w14:paraId="537AE874" w14:textId="77777777" w:rsidR="00ED116F" w:rsidRDefault="00ED116F" w:rsidP="00E5254F">
      <w:pPr>
        <w:adjustRightInd w:val="0"/>
        <w:snapToGrid w:val="0"/>
      </w:pPr>
    </w:p>
    <w:p w14:paraId="223E6986" w14:textId="1BEABE1A" w:rsidR="00B04575" w:rsidRDefault="00ED116F" w:rsidP="00E5254F">
      <w:pPr>
        <w:adjustRightInd w:val="0"/>
        <w:snapToGrid w:val="0"/>
        <w:rPr>
          <w:b/>
          <w:bCs/>
        </w:rPr>
      </w:pPr>
      <w:r>
        <w:rPr>
          <w:noProof/>
        </w:rPr>
        <w:drawing>
          <wp:inline distT="0" distB="0" distL="0" distR="0" wp14:anchorId="3AC3E47C" wp14:editId="082131A8">
            <wp:extent cx="1883453" cy="12509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04067" cy="1264642"/>
                    </a:xfrm>
                    <a:prstGeom prst="rect">
                      <a:avLst/>
                    </a:prstGeom>
                  </pic:spPr>
                </pic:pic>
              </a:graphicData>
            </a:graphic>
          </wp:inline>
        </w:drawing>
      </w:r>
      <w:r>
        <w:rPr>
          <w:b/>
          <w:bCs/>
        </w:rPr>
        <w:t xml:space="preserve">      </w:t>
      </w:r>
      <w:r>
        <w:rPr>
          <w:noProof/>
        </w:rPr>
        <w:drawing>
          <wp:inline distT="0" distB="0" distL="0" distR="0" wp14:anchorId="178BA6DE" wp14:editId="638D47B2">
            <wp:extent cx="1790700" cy="11904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98886" cy="1195870"/>
                    </a:xfrm>
                    <a:prstGeom prst="rect">
                      <a:avLst/>
                    </a:prstGeom>
                  </pic:spPr>
                </pic:pic>
              </a:graphicData>
            </a:graphic>
          </wp:inline>
        </w:drawing>
      </w:r>
    </w:p>
    <w:p w14:paraId="27077B53" w14:textId="77777777" w:rsidR="00547168" w:rsidRPr="00B04575" w:rsidRDefault="00547168" w:rsidP="00E5254F">
      <w:pPr>
        <w:adjustRightInd w:val="0"/>
        <w:snapToGrid w:val="0"/>
        <w:rPr>
          <w:b/>
          <w:bCs/>
        </w:rPr>
      </w:pPr>
    </w:p>
    <w:p w14:paraId="58E43788" w14:textId="77777777" w:rsidR="00B04575" w:rsidRDefault="00B04575" w:rsidP="00E5254F">
      <w:pPr>
        <w:adjustRightInd w:val="0"/>
        <w:snapToGrid w:val="0"/>
      </w:pPr>
    </w:p>
    <w:p w14:paraId="0D7303C3" w14:textId="2B1CEA84" w:rsidR="00541F30" w:rsidRDefault="00541F30" w:rsidP="00541F30">
      <w:pPr>
        <w:adjustRightInd w:val="0"/>
        <w:snapToGrid w:val="0"/>
        <w:jc w:val="center"/>
      </w:pPr>
    </w:p>
    <w:p w14:paraId="4141E0C6" w14:textId="0AE1A321" w:rsidR="008E4F26" w:rsidRDefault="008E4F26" w:rsidP="00541F30">
      <w:pPr>
        <w:spacing w:line="480" w:lineRule="auto"/>
      </w:pPr>
    </w:p>
    <w:p w14:paraId="2C35AE95" w14:textId="77777777" w:rsidR="00AE4722" w:rsidRPr="00EE4426" w:rsidRDefault="00AE4722" w:rsidP="00AE7601">
      <w:pPr>
        <w:spacing w:line="480" w:lineRule="auto"/>
      </w:pPr>
    </w:p>
    <w:sectPr w:rsidR="00AE4722" w:rsidRPr="00EE4426" w:rsidSect="0013480C">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9DB2" w14:textId="77777777" w:rsidR="008A1548" w:rsidRDefault="008A1548" w:rsidP="00EE4426">
      <w:r>
        <w:separator/>
      </w:r>
    </w:p>
  </w:endnote>
  <w:endnote w:type="continuationSeparator" w:id="0">
    <w:p w14:paraId="09E28869" w14:textId="77777777" w:rsidR="008A1548" w:rsidRDefault="008A1548" w:rsidP="00EE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0087977"/>
      <w:docPartObj>
        <w:docPartGallery w:val="Page Numbers (Bottom of Page)"/>
        <w:docPartUnique/>
      </w:docPartObj>
    </w:sdtPr>
    <w:sdtEndPr>
      <w:rPr>
        <w:rStyle w:val="PageNumber"/>
      </w:rPr>
    </w:sdtEndPr>
    <w:sdtContent>
      <w:p w14:paraId="6BD1E0EE" w14:textId="6F7B0A9A" w:rsidR="00BD6BF2" w:rsidRDefault="00BD6BF2" w:rsidP="00600F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7BD32" w14:textId="77777777" w:rsidR="00BD6BF2" w:rsidRDefault="00BD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9AC0" w14:textId="07A116A3" w:rsidR="00BD6BF2" w:rsidRDefault="00BD6BF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A2FEC3B" w14:textId="77777777" w:rsidR="00BD6BF2" w:rsidRDefault="00BD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41E9" w14:textId="77777777" w:rsidR="008A1548" w:rsidRDefault="008A1548" w:rsidP="00EE4426">
      <w:r>
        <w:separator/>
      </w:r>
    </w:p>
  </w:footnote>
  <w:footnote w:type="continuationSeparator" w:id="0">
    <w:p w14:paraId="2B50A5BC" w14:textId="77777777" w:rsidR="008A1548" w:rsidRDefault="008A1548" w:rsidP="00EE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C809" w14:textId="7B27CAE9" w:rsidR="003F227B" w:rsidRDefault="00EF59E0">
    <w:pPr>
      <w:pStyle w:val="Header"/>
    </w:pPr>
    <w:r>
      <w:t>ISDS361A Project</w:t>
    </w:r>
    <w:r w:rsidR="00A9594B">
      <w:t xml:space="preserve"> Phase 1</w:t>
    </w:r>
    <w:r w:rsidR="00435E34">
      <w:t xml:space="preserve">, </w:t>
    </w:r>
    <w:r w:rsidR="00A9594B">
      <w:t>Marlon Marx</w:t>
    </w:r>
    <w:r w:rsidR="009820FA">
      <w:t>, ID</w:t>
    </w:r>
    <w:r w:rsidR="00435E34">
      <w:t xml:space="preserve"> number</w:t>
    </w:r>
  </w:p>
  <w:p w14:paraId="1720C4EF" w14:textId="77777777" w:rsidR="00EE4426" w:rsidRDefault="00EE4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6DE"/>
    <w:multiLevelType w:val="hybridMultilevel"/>
    <w:tmpl w:val="07F2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54300"/>
    <w:multiLevelType w:val="hybridMultilevel"/>
    <w:tmpl w:val="4CF2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1453E"/>
    <w:multiLevelType w:val="hybridMultilevel"/>
    <w:tmpl w:val="4446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C92115"/>
    <w:multiLevelType w:val="hybridMultilevel"/>
    <w:tmpl w:val="BBAE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26"/>
    <w:rsid w:val="000147FE"/>
    <w:rsid w:val="000533D5"/>
    <w:rsid w:val="000F67F3"/>
    <w:rsid w:val="00100E5D"/>
    <w:rsid w:val="0013480C"/>
    <w:rsid w:val="0014615F"/>
    <w:rsid w:val="00151B7C"/>
    <w:rsid w:val="001C56B8"/>
    <w:rsid w:val="001E558C"/>
    <w:rsid w:val="001E55F3"/>
    <w:rsid w:val="00254FFE"/>
    <w:rsid w:val="00257293"/>
    <w:rsid w:val="00270B07"/>
    <w:rsid w:val="002761E5"/>
    <w:rsid w:val="00282A06"/>
    <w:rsid w:val="002A35EE"/>
    <w:rsid w:val="002B186B"/>
    <w:rsid w:val="00325932"/>
    <w:rsid w:val="00325FB0"/>
    <w:rsid w:val="003333AD"/>
    <w:rsid w:val="00333D2A"/>
    <w:rsid w:val="0036020F"/>
    <w:rsid w:val="003A058C"/>
    <w:rsid w:val="003B5D57"/>
    <w:rsid w:val="003F227B"/>
    <w:rsid w:val="003F7506"/>
    <w:rsid w:val="00435E34"/>
    <w:rsid w:val="00442C36"/>
    <w:rsid w:val="004570AB"/>
    <w:rsid w:val="00472CF9"/>
    <w:rsid w:val="00474B6B"/>
    <w:rsid w:val="004A11CA"/>
    <w:rsid w:val="004B28D1"/>
    <w:rsid w:val="004B76BB"/>
    <w:rsid w:val="004D3379"/>
    <w:rsid w:val="004E0ABB"/>
    <w:rsid w:val="004F6ADC"/>
    <w:rsid w:val="00512CDF"/>
    <w:rsid w:val="00523576"/>
    <w:rsid w:val="00541F30"/>
    <w:rsid w:val="00547168"/>
    <w:rsid w:val="00565550"/>
    <w:rsid w:val="005816E6"/>
    <w:rsid w:val="005D2089"/>
    <w:rsid w:val="00627916"/>
    <w:rsid w:val="006454B1"/>
    <w:rsid w:val="00675F25"/>
    <w:rsid w:val="006F2AF4"/>
    <w:rsid w:val="00772950"/>
    <w:rsid w:val="007F03B4"/>
    <w:rsid w:val="008240B5"/>
    <w:rsid w:val="0087433B"/>
    <w:rsid w:val="008A1548"/>
    <w:rsid w:val="008A6807"/>
    <w:rsid w:val="008A74D5"/>
    <w:rsid w:val="008D6B9B"/>
    <w:rsid w:val="008E4F26"/>
    <w:rsid w:val="009820FA"/>
    <w:rsid w:val="009A3F2D"/>
    <w:rsid w:val="009D7467"/>
    <w:rsid w:val="009F6F8E"/>
    <w:rsid w:val="00A23BE4"/>
    <w:rsid w:val="00A8519E"/>
    <w:rsid w:val="00A9594B"/>
    <w:rsid w:val="00AA46BF"/>
    <w:rsid w:val="00AC1AE1"/>
    <w:rsid w:val="00AC4529"/>
    <w:rsid w:val="00AC7338"/>
    <w:rsid w:val="00AE4722"/>
    <w:rsid w:val="00AE7601"/>
    <w:rsid w:val="00B04575"/>
    <w:rsid w:val="00B37BC9"/>
    <w:rsid w:val="00B523DC"/>
    <w:rsid w:val="00BD6BF2"/>
    <w:rsid w:val="00BF2374"/>
    <w:rsid w:val="00C45B26"/>
    <w:rsid w:val="00CF0479"/>
    <w:rsid w:val="00CF31C3"/>
    <w:rsid w:val="00D60A07"/>
    <w:rsid w:val="00DB6735"/>
    <w:rsid w:val="00DB6EB7"/>
    <w:rsid w:val="00DE04CB"/>
    <w:rsid w:val="00DE3CD0"/>
    <w:rsid w:val="00DF046C"/>
    <w:rsid w:val="00E07A25"/>
    <w:rsid w:val="00E31234"/>
    <w:rsid w:val="00E5254F"/>
    <w:rsid w:val="00E87345"/>
    <w:rsid w:val="00ED116F"/>
    <w:rsid w:val="00ED4E89"/>
    <w:rsid w:val="00EE4426"/>
    <w:rsid w:val="00EF59E0"/>
    <w:rsid w:val="00F02339"/>
    <w:rsid w:val="00F27486"/>
    <w:rsid w:val="00F50AA8"/>
    <w:rsid w:val="00F6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05D7D"/>
  <w15:chartTrackingRefBased/>
  <w15:docId w15:val="{BDDA3F1B-3CD3-43BD-BAE7-A89AD6DD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22"/>
    <w:pPr>
      <w:spacing w:after="0"/>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45B26"/>
    <w:pPr>
      <w:framePr w:w="7920" w:h="1980" w:hRule="exact" w:hSpace="180" w:wrap="auto" w:hAnchor="page" w:xAlign="center" w:yAlign="bottom"/>
      <w:ind w:left="2880"/>
    </w:pPr>
    <w:rPr>
      <w:rFonts w:ascii="Lucida Calligraphy" w:eastAsiaTheme="majorEastAsia" w:hAnsi="Lucida Calligraphy" w:cstheme="majorBidi"/>
      <w:b/>
      <w:sz w:val="28"/>
    </w:rPr>
  </w:style>
  <w:style w:type="paragraph" w:styleId="EnvelopeReturn">
    <w:name w:val="envelope return"/>
    <w:basedOn w:val="Normal"/>
    <w:uiPriority w:val="99"/>
    <w:semiHidden/>
    <w:unhideWhenUsed/>
    <w:rsid w:val="00C45B26"/>
    <w:rPr>
      <w:rFonts w:ascii="Lucida Calligraphy" w:eastAsiaTheme="majorEastAsia" w:hAnsi="Lucida Calligraphy" w:cstheme="majorBidi"/>
      <w:b/>
      <w:szCs w:val="20"/>
    </w:rPr>
  </w:style>
  <w:style w:type="paragraph" w:styleId="Header">
    <w:name w:val="header"/>
    <w:basedOn w:val="Normal"/>
    <w:link w:val="HeaderChar"/>
    <w:uiPriority w:val="99"/>
    <w:unhideWhenUsed/>
    <w:rsid w:val="00EE4426"/>
    <w:pPr>
      <w:tabs>
        <w:tab w:val="center" w:pos="4680"/>
        <w:tab w:val="right" w:pos="9360"/>
      </w:tabs>
    </w:pPr>
  </w:style>
  <w:style w:type="character" w:customStyle="1" w:styleId="HeaderChar">
    <w:name w:val="Header Char"/>
    <w:basedOn w:val="DefaultParagraphFont"/>
    <w:link w:val="Header"/>
    <w:uiPriority w:val="99"/>
    <w:rsid w:val="00EE4426"/>
  </w:style>
  <w:style w:type="paragraph" w:styleId="Footer">
    <w:name w:val="footer"/>
    <w:basedOn w:val="Normal"/>
    <w:link w:val="FooterChar"/>
    <w:uiPriority w:val="99"/>
    <w:unhideWhenUsed/>
    <w:rsid w:val="00EE4426"/>
    <w:pPr>
      <w:tabs>
        <w:tab w:val="center" w:pos="4680"/>
        <w:tab w:val="right" w:pos="9360"/>
      </w:tabs>
    </w:pPr>
  </w:style>
  <w:style w:type="character" w:customStyle="1" w:styleId="FooterChar">
    <w:name w:val="Footer Char"/>
    <w:basedOn w:val="DefaultParagraphFont"/>
    <w:link w:val="Footer"/>
    <w:uiPriority w:val="99"/>
    <w:rsid w:val="00EE4426"/>
  </w:style>
  <w:style w:type="table" w:styleId="TableGrid">
    <w:name w:val="Table Grid"/>
    <w:basedOn w:val="TableNormal"/>
    <w:uiPriority w:val="39"/>
    <w:rsid w:val="00B523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D6BF2"/>
  </w:style>
  <w:style w:type="paragraph" w:styleId="ListParagraph">
    <w:name w:val="List Paragraph"/>
    <w:basedOn w:val="Normal"/>
    <w:uiPriority w:val="34"/>
    <w:qFormat/>
    <w:rsid w:val="00BF2374"/>
    <w:pPr>
      <w:ind w:left="720"/>
      <w:contextualSpacing/>
    </w:pPr>
    <w:rPr>
      <w:rFonts w:eastAsia="SimSun"/>
      <w:sz w:val="20"/>
      <w:szCs w:val="20"/>
      <w:lang w:eastAsia="en-US"/>
    </w:rPr>
  </w:style>
  <w:style w:type="paragraph" w:customStyle="1" w:styleId="Default">
    <w:name w:val="Default"/>
    <w:rsid w:val="00AE4722"/>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82075">
      <w:bodyDiv w:val="1"/>
      <w:marLeft w:val="0"/>
      <w:marRight w:val="0"/>
      <w:marTop w:val="0"/>
      <w:marBottom w:val="0"/>
      <w:divBdr>
        <w:top w:val="none" w:sz="0" w:space="0" w:color="auto"/>
        <w:left w:val="none" w:sz="0" w:space="0" w:color="auto"/>
        <w:bottom w:val="none" w:sz="0" w:space="0" w:color="auto"/>
        <w:right w:val="none" w:sz="0" w:space="0" w:color="auto"/>
      </w:divBdr>
    </w:div>
    <w:div w:id="490026444">
      <w:bodyDiv w:val="1"/>
      <w:marLeft w:val="0"/>
      <w:marRight w:val="0"/>
      <w:marTop w:val="0"/>
      <w:marBottom w:val="0"/>
      <w:divBdr>
        <w:top w:val="none" w:sz="0" w:space="0" w:color="auto"/>
        <w:left w:val="none" w:sz="0" w:space="0" w:color="auto"/>
        <w:bottom w:val="none" w:sz="0" w:space="0" w:color="auto"/>
        <w:right w:val="none" w:sz="0" w:space="0" w:color="auto"/>
      </w:divBdr>
    </w:div>
    <w:div w:id="12012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4/relationships/chartEx" Target="charts/chartEx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MarlonMarx\Downloads\2012Salary-ACCT-and-IS.csv"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MarlonMarx\Downloads\2012Salary-ACCT-and-IS.csv"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'2012Salary-ACCT-and-IS'!$A$49:$A$57</cx:f>
        <cx:lvl ptCount="9">
          <cx:pt idx="0">Min</cx:pt>
          <cx:pt idx="1">Mode</cx:pt>
          <cx:pt idx="2">Mean </cx:pt>
          <cx:pt idx="3">Median</cx:pt>
          <cx:pt idx="4">IQR</cx:pt>
          <cx:pt idx="5">Q1</cx:pt>
          <cx:pt idx="6">Q3</cx:pt>
          <cx:pt idx="7">Range</cx:pt>
          <cx:pt idx="8">Max</cx:pt>
        </cx:lvl>
      </cx:strDim>
      <cx:numDim type="val">
        <cx:f>'2012Salary-ACCT-and-IS'!$B$49:$B$57</cx:f>
        <cx:lvl ptCount="9" formatCode="_(&quot;$&quot;* #,##0.00_);_(&quot;$&quot;* \(#,##0.00\);_(&quot;$&quot;* &quot;-&quot;??_);_(@_)">
          <cx:pt idx="0">3100</cx:pt>
          <cx:pt idx="1">4200</cx:pt>
          <cx:pt idx="2">4420</cx:pt>
          <cx:pt idx="3">4360</cx:pt>
          <cx:pt idx="4">778.75</cx:pt>
          <cx:pt idx="5">3946.25</cx:pt>
          <cx:pt idx="6">4725</cx:pt>
          <cx:pt idx="7">2950</cx:pt>
          <cx:pt idx="8">6050</cx:pt>
        </cx:lvl>
      </cx:numDim>
    </cx:data>
  </cx:chartData>
  <cx:chart>
    <cx:title pos="t" align="ctr" overlay="0">
      <cx:tx>
        <cx:txData>
          <cx:v>Accounting</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Accounting</a:t>
          </a:r>
        </a:p>
      </cx:txPr>
    </cx:title>
    <cx:plotArea>
      <cx:plotAreaRegion>
        <cx:series layoutId="funnel" uniqueId="{ABABA8B5-24AD-485F-9F4E-6C06C8CEC14B}">
          <cx:dataLabels>
            <cx:visibility seriesName="0" categoryName="0" value="1"/>
          </cx:dataLabels>
          <cx:dataId val="0"/>
        </cx:series>
      </cx:plotAreaRegion>
      <cx:axis id="0">
        <cx:catScaling gapWidth="0.0599999987"/>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'2012Salary-ACCT-and-IS'!$A$62:$A$70</cx:f>
        <cx:lvl ptCount="9">
          <cx:pt idx="0">Min</cx:pt>
          <cx:pt idx="1">Mode</cx:pt>
          <cx:pt idx="2">Mean </cx:pt>
          <cx:pt idx="3">Median</cx:pt>
          <cx:pt idx="4">IQR</cx:pt>
          <cx:pt idx="5">Q1</cx:pt>
          <cx:pt idx="6">Q3</cx:pt>
          <cx:pt idx="7">Range</cx:pt>
          <cx:pt idx="8">Max</cx:pt>
        </cx:lvl>
      </cx:strDim>
      <cx:numDim type="val">
        <cx:f>'2012Salary-ACCT-and-IS'!$B$62:$B$70</cx:f>
        <cx:lvl ptCount="9" formatCode="General">
          <cx:pt idx="0">3230</cx:pt>
          <cx:pt idx="2">4393.5294117647063</cx:pt>
          <cx:pt idx="3">4290</cx:pt>
          <cx:pt idx="4">587.5</cx:pt>
          <cx:pt idx="5">4140</cx:pt>
          <cx:pt idx="6">4727.5</cx:pt>
          <cx:pt idx="7">2200</cx:pt>
          <cx:pt idx="8">5430</cx:pt>
        </cx:lvl>
      </cx:numDim>
    </cx:data>
  </cx:chartData>
  <cx:chart>
    <cx:title pos="t" align="ctr" overlay="0">
      <cx:tx>
        <cx:txData>
          <cx:v>Info Systems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Info Systems</a:t>
          </a:r>
        </a:p>
      </cx:txPr>
    </cx:title>
    <cx:plotArea>
      <cx:plotAreaRegion>
        <cx:series layoutId="funnel" uniqueId="{0D613712-0E4A-4F5E-B442-B37AFBAEF0C9}">
          <cx:dataLabels>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83EE9-7E0E-F646-9B64-703FEF02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Marcoulides, Laura</dc:creator>
  <cp:keywords/>
  <dc:description/>
  <cp:lastModifiedBy>Marlon Marx</cp:lastModifiedBy>
  <cp:revision>3</cp:revision>
  <dcterms:created xsi:type="dcterms:W3CDTF">2021-06-14T04:28:00Z</dcterms:created>
  <dcterms:modified xsi:type="dcterms:W3CDTF">2021-06-14T04:29:00Z</dcterms:modified>
</cp:coreProperties>
</file>